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法律与社会工作学院（知识产权学院）介绍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napToGrid w:val="0"/>
        <w:spacing w:line="600" w:lineRule="exact"/>
        <w:jc w:val="left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学院简介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法律与社会工作学院（知识产权学院）现设法律系、社会工作系、知识产权系，开办法学、社会工作、知识产权三个本科专业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其中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社会工作专业为国家级一流本科专业建设点、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专业</w:t>
      </w:r>
      <w:r>
        <w:rPr>
          <w:rFonts w:hint="eastAsia" w:ascii="Times New Roman" w:hAnsi="Times New Roman" w:eastAsia="仿宋_GB2312"/>
          <w:sz w:val="32"/>
          <w:szCs w:val="32"/>
        </w:rPr>
        <w:t>硕士学位授权点，法学专业为省级一流本科专业建设点。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学院目前共有教职工6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人，其中专任教师4</w:t>
      </w:r>
      <w:r>
        <w:rPr>
          <w:rFonts w:ascii="Times New Roman" w:hAnsi="Times New Roman" w:eastAsia="仿宋_GB2312"/>
          <w:sz w:val="32"/>
          <w:szCs w:val="32"/>
        </w:rPr>
        <w:t>9</w:t>
      </w:r>
      <w:r>
        <w:rPr>
          <w:rFonts w:hint="eastAsia" w:ascii="Times New Roman" w:hAnsi="Times New Roman" w:eastAsia="仿宋_GB2312"/>
          <w:sz w:val="32"/>
          <w:szCs w:val="32"/>
        </w:rPr>
        <w:t>人，教授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/>
          <w:sz w:val="32"/>
          <w:szCs w:val="32"/>
        </w:rPr>
        <w:t>人，副教授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人，具有博士学历学位的教师有3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/>
          <w:sz w:val="32"/>
          <w:szCs w:val="32"/>
        </w:rPr>
        <w:t>人（含在读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人）。建有省级人才培育基地1个（广东省社会工作专业人才培育基地）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其他平台12个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校级科研团队5个。近5年，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学院</w:t>
      </w:r>
      <w:r>
        <w:rPr>
          <w:rFonts w:hint="eastAsia" w:ascii="Times New Roman" w:hAnsi="Times New Roman" w:eastAsia="仿宋_GB2312"/>
          <w:sz w:val="32"/>
          <w:szCs w:val="32"/>
        </w:rPr>
        <w:t>教师承担国家社科课题6项，省部级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课题</w:t>
      </w:r>
      <w:r>
        <w:rPr>
          <w:rFonts w:hint="eastAsia" w:ascii="Times New Roman" w:hAnsi="Times New Roman" w:eastAsia="仿宋_GB2312"/>
          <w:sz w:val="32"/>
          <w:szCs w:val="32"/>
        </w:rPr>
        <w:t>近20项，市厅级及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仿宋_GB2312"/>
          <w:sz w:val="32"/>
          <w:szCs w:val="32"/>
        </w:rPr>
        <w:t>纵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向课题</w:t>
      </w:r>
      <w:r>
        <w:rPr>
          <w:rFonts w:hint="eastAsia" w:ascii="Times New Roman" w:hAnsi="Times New Roman" w:eastAsia="仿宋_GB2312"/>
          <w:sz w:val="32"/>
          <w:szCs w:val="32"/>
        </w:rPr>
        <w:t xml:space="preserve">54项；主持横向课题65项；发表科研论文64篇，其中核心期刊15篇；出版各类著作15部。 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学院围绕粤港澳大湾区经济社会发展需求，在地方法治、社会治理、社会工作、知识产权等方面开展教学科研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工作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毕业生深受用人单位欢迎，考取公务员比例逐年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提升</w:t>
      </w:r>
      <w:r>
        <w:rPr>
          <w:rFonts w:hint="eastAsia" w:ascii="Times New Roman" w:hAnsi="Times New Roman" w:eastAsia="仿宋_GB2312"/>
          <w:sz w:val="32"/>
          <w:szCs w:val="32"/>
        </w:rPr>
        <w:t>，也有学生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赴</w:t>
      </w:r>
      <w:r>
        <w:rPr>
          <w:rFonts w:hint="eastAsia" w:ascii="Times New Roman" w:hAnsi="Times New Roman" w:eastAsia="仿宋_GB2312"/>
          <w:sz w:val="32"/>
          <w:szCs w:val="32"/>
        </w:rPr>
        <w:t>国内外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知</w:t>
      </w:r>
      <w:r>
        <w:rPr>
          <w:rFonts w:hint="eastAsia" w:ascii="Times New Roman" w:hAnsi="Times New Roman" w:eastAsia="仿宋_GB2312"/>
          <w:sz w:val="32"/>
          <w:szCs w:val="32"/>
        </w:rPr>
        <w:t>名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高</w:t>
      </w:r>
      <w:r>
        <w:rPr>
          <w:rFonts w:hint="eastAsia" w:ascii="Times New Roman" w:hAnsi="Times New Roman" w:eastAsia="仿宋_GB2312"/>
          <w:sz w:val="32"/>
          <w:szCs w:val="32"/>
        </w:rPr>
        <w:t>校攻读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硕士</w:t>
      </w:r>
      <w:r>
        <w:rPr>
          <w:rFonts w:hint="eastAsia" w:ascii="Times New Roman" w:hAnsi="Times New Roman" w:eastAsia="仿宋_GB2312"/>
          <w:sz w:val="32"/>
          <w:szCs w:val="32"/>
        </w:rPr>
        <w:t>研究生。经过多年发展，学院已成为东莞乃至珠三角地区重要的法学、知识产权、社会工作专业人才培养基地，形成了良好的社会声誉。</w:t>
      </w:r>
    </w:p>
    <w:p>
      <w:pPr>
        <w:snapToGrid w:val="0"/>
        <w:spacing w:line="600" w:lineRule="exact"/>
        <w:jc w:val="left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培养特色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● 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建立政产学研协同育人机制，培养高水平应用型复合型地方治理人才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建有广东省社会工作专业人才培育基地、广东省专利审查员实践与创新促进基地、东莞知识产权学院、东莞地方立法研究评估与咨询服务基地、东莞市知识产权促进中心、广东省知识产权培训（东莞理工院）基地、知识产权创新研究院、珠三角社会福利与社会工作研究院、大数据与公共政策研究所、东莞理工学院台湾研究所、社会治理创新研究中心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多个</w:t>
      </w:r>
      <w:r>
        <w:rPr>
          <w:rFonts w:hint="eastAsia" w:ascii="Times New Roman" w:hAnsi="Times New Roman" w:eastAsia="仿宋_GB2312"/>
          <w:sz w:val="32"/>
          <w:szCs w:val="32"/>
        </w:rPr>
        <w:t>优质教学科研平台。实行“政产学研”协同育人机制，高校与实务部门共同确定培养目标、共同设计课程体系、共同开发优质教材、共同组织教学团队、共同建设实践基地，形成了“教师参与策划、学生参与活动（竞赛）、实务专家指导”的合作育人模式，厚基础、强应用、重实务，复合型应用型人才培养模式效果显著。</w:t>
      </w:r>
    </w:p>
    <w:p>
      <w:pPr>
        <w:snapToGrid w:val="0"/>
        <w:spacing w:line="600" w:lineRule="exact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培养成果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● 职业资格考试通过率高：2023届法学专业本科毕业生法律职业资格考试通过率超过60%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社会工作本科毕业生考取助理社会工作师证通过率高于85%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两项比例均高于全国平均水平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● 学习氛围浓厚：多位毕业生考取国内外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知名</w:t>
      </w:r>
      <w:r>
        <w:rPr>
          <w:rFonts w:hint="eastAsia" w:ascii="Times New Roman" w:hAnsi="Times New Roman" w:eastAsia="仿宋_GB2312"/>
          <w:sz w:val="32"/>
          <w:szCs w:val="32"/>
        </w:rPr>
        <w:t>大学硕士研究生，如约克大学、格拉斯哥大学、贝尔法斯特女王大学、东英吉利亚大学、香港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城市</w:t>
      </w:r>
      <w:r>
        <w:rPr>
          <w:rFonts w:hint="eastAsia" w:ascii="Times New Roman" w:hAnsi="Times New Roman" w:eastAsia="仿宋_GB2312"/>
          <w:sz w:val="32"/>
          <w:szCs w:val="32"/>
        </w:rPr>
        <w:t>大学、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华南理工大学、</w:t>
      </w:r>
      <w:r>
        <w:rPr>
          <w:rFonts w:hint="eastAsia" w:ascii="Times New Roman" w:hAnsi="Times New Roman" w:eastAsia="仿宋_GB2312"/>
          <w:sz w:val="32"/>
          <w:szCs w:val="32"/>
        </w:rPr>
        <w:t>厦门大学、上海大学等。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●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学院</w:t>
      </w:r>
      <w:r>
        <w:rPr>
          <w:rFonts w:hint="eastAsia" w:ascii="Times New Roman" w:hAnsi="Times New Roman" w:eastAsia="仿宋_GB2312"/>
          <w:sz w:val="32"/>
          <w:szCs w:val="32"/>
        </w:rPr>
        <w:t>学生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曾在多项学科竞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赛中取得优异成绩，如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第七届中国国际“互联网+”大学生创新创业大赛银奖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第十八届“挑战杯”全国大学生课外科技作品竞赛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二等奖、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第十七届 “挑战杯”广东大学生课外学术科技作品竞赛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特等奖、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广东省大学生版权知识演讲大赛特等奖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第十三届中国社会工作大学生论坛二等奖。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239539C"/>
    <w:rsid w:val="5239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2024-05-08T09:06:00Z</dcterms:created>
  <dc:creator>A fresh meat</dc:creator>
  <cp:lastModifiedBy>A fresh meat</cp:lastModifiedBy>
  <dcterms:modified xsi:type="dcterms:W3CDTF">2024-05-08T09:07:00Z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296F7D3F1B944D18AE67DA39A5B5F0FE_11</vt:lpwstr>
  </property>
</Properties>
</file>